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312"/>
        <w:gridCol w:w="6215"/>
      </w:tblGrid>
      <w:tr w:rsidR="008A07E3" w:rsidRPr="009F2BD1" w:rsidTr="00926DAC">
        <w:trPr>
          <w:trHeight w:val="1545"/>
        </w:trPr>
        <w:tc>
          <w:tcPr>
            <w:tcW w:w="8312" w:type="dxa"/>
          </w:tcPr>
          <w:p w:rsidR="00CB3767" w:rsidRPr="00F470EF" w:rsidRDefault="00CB3767" w:rsidP="008D58F3">
            <w:pPr>
              <w:jc w:val="left"/>
              <w:rPr>
                <w:rFonts w:ascii="Arial" w:hAnsi="Arial" w:cs="Arial"/>
                <w:sz w:val="24"/>
                <w:szCs w:val="24"/>
              </w:rPr>
            </w:pPr>
            <w:r w:rsidRPr="00F470EF">
              <w:rPr>
                <w:rFonts w:ascii="Arial" w:hAnsi="Arial" w:cs="Arial"/>
                <w:noProof/>
                <w:sz w:val="24"/>
                <w:szCs w:val="24"/>
              </w:rPr>
              <w:drawing>
                <wp:inline distT="0" distB="0" distL="0" distR="0" wp14:anchorId="4196D6B9" wp14:editId="52B850BF">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r w:rsidR="008D58F3" w:rsidRPr="00267E4D">
              <w:rPr>
                <w:noProof/>
              </w:rPr>
              <w:drawing>
                <wp:inline distT="0" distB="0" distL="0" distR="0" wp14:anchorId="0650C760" wp14:editId="63FD63E5">
                  <wp:extent cx="23431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043" cy="677110"/>
                          </a:xfrm>
                          <a:prstGeom prst="rect">
                            <a:avLst/>
                          </a:prstGeom>
                          <a:noFill/>
                        </pic:spPr>
                      </pic:pic>
                    </a:graphicData>
                  </a:graphic>
                </wp:inline>
              </w:drawing>
            </w:r>
          </w:p>
        </w:tc>
        <w:tc>
          <w:tcPr>
            <w:tcW w:w="6215"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1A7200" w:rsidRPr="009F2BD1">
              <w:rPr>
                <w:b/>
                <w:color w:val="1F497D" w:themeColor="text2"/>
                <w:sz w:val="28"/>
                <w:szCs w:val="28"/>
              </w:rPr>
              <w:t>Data Infrastructure</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453209">
              <w:rPr>
                <w:b/>
                <w:color w:val="1F497D" w:themeColor="text2"/>
              </w:rPr>
              <w:t>: March 5</w:t>
            </w:r>
            <w:r w:rsidR="004E593A">
              <w:rPr>
                <w:b/>
                <w:color w:val="1F497D" w:themeColor="text2"/>
              </w:rPr>
              <w:t>, 2014</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2243F2">
              <w:rPr>
                <w:b/>
                <w:color w:val="1F497D" w:themeColor="text2"/>
              </w:rPr>
              <w:t>2:00-4</w:t>
            </w:r>
            <w:r w:rsidR="001A7200" w:rsidRPr="009F2BD1">
              <w:rPr>
                <w:b/>
                <w:color w:val="1F497D" w:themeColor="text2"/>
              </w:rPr>
              <w:t>:00pm</w:t>
            </w:r>
          </w:p>
          <w:p w:rsidR="00CB3767" w:rsidRPr="009F2BD1" w:rsidRDefault="00DA4F5E" w:rsidP="00F20B0A">
            <w:pPr>
              <w:rPr>
                <w:b/>
                <w:color w:val="548DD4" w:themeColor="text2" w:themeTint="99"/>
              </w:rPr>
            </w:pPr>
            <w:r w:rsidRPr="009F2BD1">
              <w:rPr>
                <w:b/>
                <w:color w:val="1F497D" w:themeColor="text2"/>
              </w:rPr>
              <w:t>Location</w:t>
            </w:r>
            <w:r w:rsidR="00EC2CBE">
              <w:rPr>
                <w:b/>
                <w:color w:val="1F497D" w:themeColor="text2"/>
              </w:rPr>
              <w:t xml:space="preserve">: </w:t>
            </w:r>
            <w:r w:rsidR="00F20B0A">
              <w:rPr>
                <w:b/>
                <w:color w:val="1F497D" w:themeColor="text2"/>
              </w:rPr>
              <w:t>MaineGeneral Health, Alfond Center for Health, Aug</w:t>
            </w:r>
            <w:r w:rsidR="00453209">
              <w:rPr>
                <w:b/>
                <w:color w:val="1F497D" w:themeColor="text2"/>
              </w:rPr>
              <w:t>usta</w:t>
            </w:r>
          </w:p>
        </w:tc>
      </w:tr>
    </w:tbl>
    <w:p w:rsidR="00783336" w:rsidRPr="00F470EF" w:rsidRDefault="00783336" w:rsidP="00B57A9B">
      <w:pPr>
        <w:jc w:val="left"/>
        <w:rPr>
          <w:rFonts w:ascii="Arial" w:hAnsi="Arial" w:cs="Arial"/>
          <w:sz w:val="24"/>
          <w:szCs w:val="24"/>
        </w:rPr>
      </w:pPr>
    </w:p>
    <w:p w:rsidR="00EC2CBE" w:rsidRPr="00EC2CBE" w:rsidRDefault="00E82E95" w:rsidP="00B57A9B">
      <w:pPr>
        <w:jc w:val="left"/>
        <w:rPr>
          <w:rFonts w:cstheme="minorHAnsi"/>
          <w:b/>
        </w:rPr>
      </w:pPr>
      <w:r>
        <w:rPr>
          <w:rFonts w:cstheme="minorHAnsi"/>
          <w:b/>
        </w:rPr>
        <w:t xml:space="preserve">Chair: </w:t>
      </w:r>
      <w:r w:rsidRPr="000557DD">
        <w:rPr>
          <w:rFonts w:cstheme="minorHAnsi"/>
        </w:rPr>
        <w:t>Katie Sendze, HealthInfoNet</w:t>
      </w:r>
      <w:r>
        <w:rPr>
          <w:rFonts w:cstheme="minorHAnsi"/>
          <w:b/>
        </w:rPr>
        <w:t xml:space="preserve">, </w:t>
      </w:r>
      <w:hyperlink r:id="rId11" w:history="1">
        <w:r w:rsidRPr="003B3A33">
          <w:rPr>
            <w:rStyle w:val="Hyperlink"/>
            <w:rFonts w:cstheme="minorHAnsi"/>
          </w:rPr>
          <w:t>ksendze@hinfonet.org</w:t>
        </w:r>
      </w:hyperlink>
      <w:r w:rsidR="00EC2CBE">
        <w:rPr>
          <w:rFonts w:cstheme="minorHAnsi"/>
          <w:b/>
        </w:rPr>
        <w:t xml:space="preserve">, HIN Staff: </w:t>
      </w:r>
      <w:r w:rsidR="004E593A" w:rsidRPr="004E593A">
        <w:rPr>
          <w:rFonts w:cstheme="minorHAnsi"/>
        </w:rPr>
        <w:t>Shaun Alfreds,</w:t>
      </w:r>
      <w:r w:rsidR="0038690C">
        <w:rPr>
          <w:rFonts w:cstheme="minorHAnsi"/>
        </w:rPr>
        <w:t xml:space="preserve"> Gemma Cannon,</w:t>
      </w:r>
      <w:r w:rsidR="004E593A">
        <w:rPr>
          <w:rFonts w:cstheme="minorHAnsi"/>
          <w:b/>
        </w:rPr>
        <w:t xml:space="preserve"> </w:t>
      </w:r>
      <w:r w:rsidR="00EC2CBE">
        <w:rPr>
          <w:rFonts w:cstheme="minorHAnsi"/>
        </w:rPr>
        <w:t>Katelyn Michaud</w:t>
      </w:r>
    </w:p>
    <w:p w:rsidR="00E82E95" w:rsidRDefault="00E82E95" w:rsidP="00D90642">
      <w:pPr>
        <w:jc w:val="left"/>
        <w:rPr>
          <w:rFonts w:cstheme="minorHAnsi"/>
          <w:b/>
        </w:rPr>
      </w:pPr>
    </w:p>
    <w:p w:rsidR="00D90642" w:rsidRPr="00E95CFE" w:rsidRDefault="00E82E95" w:rsidP="00D9064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123CC3" w:rsidRPr="000557DD">
        <w:rPr>
          <w:rFonts w:cstheme="minorHAnsi"/>
        </w:rPr>
        <w:t xml:space="preserve">Carrie Arseanault </w:t>
      </w:r>
      <w:r w:rsidR="00123CC3">
        <w:rPr>
          <w:rFonts w:cstheme="minorHAnsi"/>
        </w:rPr>
        <w:t xml:space="preserve">, </w:t>
      </w:r>
      <w:r w:rsidR="00123CC3" w:rsidRPr="000557DD">
        <w:rPr>
          <w:rFonts w:cstheme="minorHAnsi"/>
        </w:rPr>
        <w:t xml:space="preserve">Nancy Birkhimer </w:t>
      </w:r>
      <w:r w:rsidR="00123CC3">
        <w:rPr>
          <w:rFonts w:cstheme="minorHAnsi"/>
        </w:rPr>
        <w:t>,</w:t>
      </w:r>
      <w:r w:rsidR="002243F2">
        <w:rPr>
          <w:rFonts w:cstheme="minorHAnsi"/>
        </w:rPr>
        <w:t xml:space="preserve"> </w:t>
      </w:r>
      <w:r w:rsidR="00123CC3" w:rsidRPr="000557DD">
        <w:rPr>
          <w:rFonts w:cstheme="minorHAnsi"/>
        </w:rPr>
        <w:t>Michael DeLorenzo,</w:t>
      </w:r>
      <w:r w:rsidR="00123CC3">
        <w:rPr>
          <w:rFonts w:cstheme="minorHAnsi"/>
        </w:rPr>
        <w:t xml:space="preserve"> </w:t>
      </w:r>
      <w:r w:rsidR="00123CC3" w:rsidRPr="000557DD">
        <w:rPr>
          <w:rFonts w:cstheme="minorHAnsi"/>
        </w:rPr>
        <w:t xml:space="preserve">Bruce Donlin, </w:t>
      </w:r>
      <w:r w:rsidR="005800E4">
        <w:rPr>
          <w:rFonts w:cstheme="minorHAnsi"/>
        </w:rPr>
        <w:t>Dana Dunca</w:t>
      </w:r>
      <w:r w:rsidR="00123CC3" w:rsidRPr="000557DD">
        <w:rPr>
          <w:rFonts w:cstheme="minorHAnsi"/>
        </w:rPr>
        <w:t>n</w:t>
      </w:r>
      <w:r w:rsidR="00123CC3">
        <w:rPr>
          <w:rFonts w:cstheme="minorHAnsi"/>
        </w:rPr>
        <w:t xml:space="preserve">, </w:t>
      </w:r>
      <w:r w:rsidR="004C7326" w:rsidRPr="000557DD">
        <w:rPr>
          <w:rFonts w:cstheme="minorHAnsi"/>
        </w:rPr>
        <w:t>Wayne Gregersen</w:t>
      </w:r>
      <w:r w:rsidR="004C7326">
        <w:rPr>
          <w:rFonts w:cstheme="minorHAnsi"/>
        </w:rPr>
        <w:t xml:space="preserve">, </w:t>
      </w:r>
      <w:r w:rsidR="00123CC3" w:rsidRPr="000557DD">
        <w:rPr>
          <w:rFonts w:cstheme="minorHAnsi"/>
        </w:rPr>
        <w:t>Rebecca Gagnon</w:t>
      </w:r>
      <w:r w:rsidR="004452D1">
        <w:rPr>
          <w:rFonts w:cstheme="minorHAnsi"/>
        </w:rPr>
        <w:t xml:space="preserve"> (for Holly Harmon)</w:t>
      </w:r>
      <w:r w:rsidR="00123CC3">
        <w:rPr>
          <w:rFonts w:cstheme="minorHAnsi"/>
        </w:rPr>
        <w:t>,</w:t>
      </w:r>
      <w:r w:rsidR="00123CC3" w:rsidRPr="000557DD">
        <w:rPr>
          <w:rFonts w:cstheme="minorHAnsi"/>
        </w:rPr>
        <w:t xml:space="preserve"> Ralph Johnson</w:t>
      </w:r>
      <w:r w:rsidR="00123CC3">
        <w:rPr>
          <w:rFonts w:cstheme="minorHAnsi"/>
        </w:rPr>
        <w:t xml:space="preserve">,  </w:t>
      </w:r>
      <w:r w:rsidR="0038690C">
        <w:rPr>
          <w:rFonts w:cstheme="minorHAnsi"/>
        </w:rPr>
        <w:t>Luke Lazure,</w:t>
      </w:r>
      <w:r w:rsidR="005800E4" w:rsidRPr="000557DD">
        <w:rPr>
          <w:rFonts w:cstheme="minorHAnsi"/>
        </w:rPr>
        <w:t xml:space="preserve"> </w:t>
      </w:r>
      <w:r w:rsidR="004C7326" w:rsidRPr="000557DD">
        <w:rPr>
          <w:rFonts w:cstheme="minorHAnsi"/>
        </w:rPr>
        <w:t>Katherine Pelletreau</w:t>
      </w:r>
      <w:r w:rsidR="004C7326">
        <w:rPr>
          <w:rFonts w:cstheme="minorHAnsi"/>
        </w:rPr>
        <w:t>,</w:t>
      </w:r>
      <w:r w:rsidR="004C7326" w:rsidRPr="000557DD">
        <w:rPr>
          <w:rFonts w:cstheme="minorHAnsi"/>
        </w:rPr>
        <w:t xml:space="preserve"> </w:t>
      </w:r>
      <w:r w:rsidR="00BD278D" w:rsidRPr="000557DD">
        <w:rPr>
          <w:rFonts w:cstheme="minorHAnsi"/>
        </w:rPr>
        <w:t>C</w:t>
      </w:r>
      <w:r w:rsidR="004452D1">
        <w:rPr>
          <w:rFonts w:cstheme="minorHAnsi"/>
        </w:rPr>
        <w:t>huck Pritchard</w:t>
      </w:r>
      <w:r w:rsidR="00123CC3">
        <w:rPr>
          <w:rFonts w:cstheme="minorHAnsi"/>
        </w:rPr>
        <w:t xml:space="preserve"> </w:t>
      </w:r>
      <w:r w:rsidR="005800E4">
        <w:rPr>
          <w:rFonts w:cstheme="minorHAnsi"/>
        </w:rPr>
        <w:t xml:space="preserve"> </w:t>
      </w:r>
    </w:p>
    <w:p w:rsidR="00D243A2" w:rsidRDefault="00D243A2" w:rsidP="00B50A92">
      <w:pPr>
        <w:jc w:val="left"/>
        <w:rPr>
          <w:rFonts w:cstheme="minorHAnsi"/>
        </w:rPr>
      </w:pPr>
    </w:p>
    <w:p w:rsidR="0033286A" w:rsidRPr="0033286A" w:rsidRDefault="0033286A" w:rsidP="00B50A92">
      <w:pPr>
        <w:jc w:val="left"/>
        <w:rPr>
          <w:rFonts w:cstheme="minorHAnsi"/>
        </w:rPr>
      </w:pPr>
      <w:r w:rsidRPr="0033286A">
        <w:rPr>
          <w:rFonts w:cstheme="minorHAnsi"/>
          <w:b/>
          <w:u w:val="single"/>
        </w:rPr>
        <w:t>Interested Parties:</w:t>
      </w:r>
      <w:r>
        <w:rPr>
          <w:rFonts w:cstheme="minorHAnsi"/>
          <w:b/>
          <w:u w:val="single"/>
        </w:rPr>
        <w:t xml:space="preserve"> </w:t>
      </w:r>
      <w:r w:rsidR="004452D1">
        <w:rPr>
          <w:rFonts w:cstheme="minorHAnsi"/>
        </w:rPr>
        <w:t xml:space="preserve"> Amy Belisle</w:t>
      </w:r>
      <w:r w:rsidR="0038690C">
        <w:rPr>
          <w:rFonts w:cstheme="minorHAnsi"/>
        </w:rPr>
        <w:t xml:space="preserve">, </w:t>
      </w:r>
      <w:r w:rsidR="004C7326" w:rsidRPr="004C7326">
        <w:rPr>
          <w:rFonts w:cstheme="minorHAnsi"/>
        </w:rPr>
        <w:t>Cathy Cobb</w:t>
      </w:r>
      <w:r w:rsidR="004C7326">
        <w:rPr>
          <w:rFonts w:cstheme="minorHAnsi"/>
        </w:rPr>
        <w:t>,</w:t>
      </w:r>
      <w:r w:rsidR="0038690C">
        <w:rPr>
          <w:rFonts w:cstheme="minorHAnsi"/>
        </w:rPr>
        <w:t xml:space="preserve"> Elsie Freeman,</w:t>
      </w:r>
      <w:r w:rsidR="00A70DBF">
        <w:rPr>
          <w:rFonts w:cstheme="minorHAnsi"/>
        </w:rPr>
        <w:t xml:space="preserve"> Jonathan </w:t>
      </w:r>
      <w:r w:rsidR="00576891">
        <w:rPr>
          <w:rFonts w:cstheme="minorHAnsi"/>
        </w:rPr>
        <w:t xml:space="preserve">Ives, </w:t>
      </w:r>
      <w:r w:rsidR="005B1AD7">
        <w:rPr>
          <w:rFonts w:cstheme="minorHAnsi"/>
        </w:rPr>
        <w:t>Joanie Klayman, Chris Mu</w:t>
      </w:r>
      <w:r w:rsidR="0038690C">
        <w:rPr>
          <w:rFonts w:cstheme="minorHAnsi"/>
        </w:rPr>
        <w:t>ffe</w:t>
      </w:r>
      <w:r w:rsidR="005B1AD7">
        <w:rPr>
          <w:rFonts w:cstheme="minorHAnsi"/>
        </w:rPr>
        <w:t>t</w:t>
      </w:r>
      <w:r w:rsidR="0038690C">
        <w:rPr>
          <w:rFonts w:cstheme="minorHAnsi"/>
        </w:rPr>
        <w:t>t, Sue Woods</w:t>
      </w:r>
    </w:p>
    <w:p w:rsidR="0033286A" w:rsidRDefault="0033286A" w:rsidP="00B50A92">
      <w:pPr>
        <w:jc w:val="left"/>
        <w:rPr>
          <w:rFonts w:cstheme="minorHAnsi"/>
        </w:rPr>
      </w:pPr>
    </w:p>
    <w:p w:rsidR="00576891" w:rsidRDefault="00E82E95" w:rsidP="00B57A9B">
      <w:pPr>
        <w:jc w:val="left"/>
        <w:rPr>
          <w:rFonts w:cstheme="minorHAnsi"/>
        </w:r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4C7326">
        <w:rPr>
          <w:rFonts w:cstheme="minorHAnsi"/>
        </w:rPr>
        <w:t xml:space="preserve">Barbara Crowley, </w:t>
      </w:r>
      <w:r w:rsidR="0038690C" w:rsidRPr="000557DD">
        <w:rPr>
          <w:rFonts w:cstheme="minorHAnsi"/>
        </w:rPr>
        <w:t>Dawn Gallagher</w:t>
      </w:r>
      <w:r w:rsidR="0038690C">
        <w:rPr>
          <w:rFonts w:cstheme="minorHAnsi"/>
        </w:rPr>
        <w:t>,</w:t>
      </w:r>
      <w:r w:rsidR="0038690C" w:rsidRPr="000557DD">
        <w:rPr>
          <w:rFonts w:cstheme="minorHAnsi"/>
        </w:rPr>
        <w:t xml:space="preserve"> </w:t>
      </w:r>
      <w:r w:rsidR="00576891" w:rsidRPr="000557DD">
        <w:rPr>
          <w:rFonts w:cstheme="minorHAnsi"/>
        </w:rPr>
        <w:t>Karynlee Harrington</w:t>
      </w:r>
      <w:r w:rsidR="00576891">
        <w:rPr>
          <w:rFonts w:cstheme="minorHAnsi"/>
        </w:rPr>
        <w:t xml:space="preserve">, </w:t>
      </w:r>
      <w:r w:rsidR="0038690C" w:rsidRPr="000557DD">
        <w:rPr>
          <w:rFonts w:cstheme="minorHAnsi"/>
        </w:rPr>
        <w:t>Patsy Leavitt</w:t>
      </w:r>
      <w:r w:rsidR="0038690C">
        <w:rPr>
          <w:rFonts w:cstheme="minorHAnsi"/>
        </w:rPr>
        <w:t xml:space="preserve">, </w:t>
      </w:r>
      <w:r w:rsidR="0038690C" w:rsidRPr="000557DD">
        <w:rPr>
          <w:rFonts w:cstheme="minorHAnsi"/>
        </w:rPr>
        <w:t>Margaret Longsworth</w:t>
      </w:r>
      <w:r w:rsidR="0038690C">
        <w:rPr>
          <w:rFonts w:cstheme="minorHAnsi"/>
        </w:rPr>
        <w:t xml:space="preserve">, </w:t>
      </w:r>
      <w:r w:rsidR="004C7326">
        <w:rPr>
          <w:rFonts w:cstheme="minorHAnsi"/>
        </w:rPr>
        <w:t>Joseph Riddick</w:t>
      </w:r>
      <w:r w:rsidR="0038690C">
        <w:rPr>
          <w:rFonts w:cstheme="minorHAnsi"/>
        </w:rPr>
        <w:t xml:space="preserve">, </w:t>
      </w:r>
      <w:r w:rsidR="0038690C" w:rsidRPr="000557DD">
        <w:rPr>
          <w:rFonts w:cstheme="minorHAnsi"/>
        </w:rPr>
        <w:t>Ann Sullivan</w:t>
      </w:r>
    </w:p>
    <w:p w:rsidR="00576891" w:rsidRPr="00F6206F" w:rsidRDefault="00576891" w:rsidP="00B57A9B">
      <w:pPr>
        <w:jc w:val="left"/>
        <w:rPr>
          <w:rFonts w:cstheme="minorHAnsi"/>
        </w:rPr>
        <w:sectPr w:rsidR="00576891" w:rsidRPr="00F6206F" w:rsidSect="00BC2BC9">
          <w:headerReference w:type="default" r:id="rId12"/>
          <w:footerReference w:type="default" r:id="rId13"/>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hyperlink r:id="rId14" w:history="1">
        <w:r w:rsidR="003B3A33" w:rsidRPr="002B089E">
          <w:rPr>
            <w:rStyle w:val="Hyperlink"/>
          </w:rPr>
          <w:t>http://www.maine.gov/dhhs/oms/sim/data-infrastructure/index.shtml</w:t>
        </w:r>
      </w:hyperlink>
    </w:p>
    <w:p w:rsidR="002B6325" w:rsidRPr="00AA1F9E" w:rsidRDefault="002B6325" w:rsidP="00B55426">
      <w:pPr>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970"/>
        <w:gridCol w:w="8550"/>
        <w:gridCol w:w="2742"/>
      </w:tblGrid>
      <w:tr w:rsidR="002F4AEB" w:rsidRPr="002F4AEB" w:rsidTr="002F4AEB">
        <w:tc>
          <w:tcPr>
            <w:tcW w:w="2970" w:type="dxa"/>
            <w:shd w:val="clear" w:color="auto" w:fill="E5B8B7" w:themeFill="accent2" w:themeFillTint="66"/>
          </w:tcPr>
          <w:p w:rsidR="001A7200" w:rsidRPr="002F4AEB" w:rsidRDefault="0000706D" w:rsidP="00B57A9B">
            <w:pPr>
              <w:jc w:val="left"/>
              <w:rPr>
                <w:rFonts w:cstheme="minorHAnsi"/>
                <w:b/>
              </w:rPr>
            </w:pPr>
            <w:r>
              <w:rPr>
                <w:rFonts w:cstheme="minorHAnsi"/>
                <w:b/>
              </w:rPr>
              <w:t>Agenda Item</w:t>
            </w:r>
          </w:p>
        </w:tc>
        <w:tc>
          <w:tcPr>
            <w:tcW w:w="8550" w:type="dxa"/>
            <w:shd w:val="clear" w:color="auto" w:fill="E5B8B7" w:themeFill="accent2" w:themeFillTint="66"/>
          </w:tcPr>
          <w:p w:rsidR="001A7200" w:rsidRPr="002F4AEB" w:rsidRDefault="00214A97" w:rsidP="00B57A9B">
            <w:pPr>
              <w:jc w:val="left"/>
              <w:rPr>
                <w:rFonts w:cstheme="minorHAnsi"/>
                <w:b/>
              </w:rPr>
            </w:pPr>
            <w:r>
              <w:rPr>
                <w:rFonts w:cstheme="minorHAnsi"/>
                <w:b/>
              </w:rPr>
              <w:t>R</w:t>
            </w:r>
            <w:r w:rsidR="001A7200" w:rsidRPr="002F4AEB">
              <w:rPr>
                <w:rFonts w:cstheme="minorHAnsi"/>
                <w:b/>
              </w:rPr>
              <w:t>isk</w:t>
            </w:r>
            <w:r>
              <w:rPr>
                <w:rFonts w:cstheme="minorHAnsi"/>
                <w:b/>
              </w:rPr>
              <w:t>/concern</w:t>
            </w:r>
            <w:r w:rsidR="00D33C69">
              <w:rPr>
                <w:rFonts w:cstheme="minorHAnsi"/>
                <w:b/>
              </w:rPr>
              <w:t xml:space="preserve"> discussed</w:t>
            </w:r>
          </w:p>
        </w:tc>
        <w:tc>
          <w:tcPr>
            <w:tcW w:w="2742" w:type="dxa"/>
            <w:shd w:val="clear" w:color="auto" w:fill="E5B8B7" w:themeFill="accent2" w:themeFillTint="66"/>
          </w:tcPr>
          <w:p w:rsidR="001A7200" w:rsidRPr="002F4AEB" w:rsidRDefault="001A7200" w:rsidP="00B57A9B">
            <w:pPr>
              <w:jc w:val="left"/>
              <w:rPr>
                <w:rFonts w:cstheme="minorHAnsi"/>
                <w:b/>
              </w:rPr>
            </w:pPr>
            <w:r w:rsidRPr="002F4AEB">
              <w:rPr>
                <w:rFonts w:cstheme="minorHAnsi"/>
                <w:b/>
              </w:rPr>
              <w:t>Escalation to Steering (y/n)</w:t>
            </w:r>
          </w:p>
        </w:tc>
      </w:tr>
      <w:tr w:rsidR="001A7200" w:rsidRPr="00990D1F" w:rsidTr="004D53AB">
        <w:tc>
          <w:tcPr>
            <w:tcW w:w="2970" w:type="dxa"/>
          </w:tcPr>
          <w:p w:rsidR="001A7200" w:rsidRDefault="00797A73" w:rsidP="006A0577">
            <w:pPr>
              <w:jc w:val="left"/>
              <w:rPr>
                <w:rFonts w:cstheme="minorHAnsi"/>
                <w:b/>
              </w:rPr>
            </w:pPr>
            <w:r>
              <w:rPr>
                <w:rFonts w:cstheme="minorHAnsi"/>
                <w:b/>
              </w:rPr>
              <w:t>N/A</w:t>
            </w:r>
          </w:p>
        </w:tc>
        <w:tc>
          <w:tcPr>
            <w:tcW w:w="8550" w:type="dxa"/>
          </w:tcPr>
          <w:p w:rsidR="00E6028A" w:rsidRPr="007F3117" w:rsidRDefault="00797A73" w:rsidP="002243F2">
            <w:pPr>
              <w:pStyle w:val="ListParagraph"/>
              <w:numPr>
                <w:ilvl w:val="0"/>
                <w:numId w:val="28"/>
              </w:numPr>
              <w:jc w:val="left"/>
              <w:rPr>
                <w:rFonts w:cstheme="minorHAnsi"/>
              </w:rPr>
            </w:pPr>
            <w:r>
              <w:rPr>
                <w:rFonts w:cstheme="minorHAnsi"/>
              </w:rPr>
              <w:t>None</w:t>
            </w:r>
          </w:p>
        </w:tc>
        <w:tc>
          <w:tcPr>
            <w:tcW w:w="2742" w:type="dxa"/>
          </w:tcPr>
          <w:p w:rsidR="001A7200" w:rsidRPr="00990D1F" w:rsidRDefault="00214A97" w:rsidP="006A0577">
            <w:pPr>
              <w:jc w:val="left"/>
              <w:rPr>
                <w:rFonts w:cstheme="minorHAnsi"/>
              </w:rPr>
            </w:pPr>
            <w:r>
              <w:rPr>
                <w:rFonts w:cstheme="minorHAnsi"/>
              </w:rPr>
              <w:t>N</w:t>
            </w:r>
          </w:p>
        </w:tc>
      </w:tr>
      <w:tr w:rsidR="004D53AB" w:rsidRPr="00990D1F" w:rsidTr="004D53AB">
        <w:trPr>
          <w:tblHeader/>
        </w:trPr>
        <w:tc>
          <w:tcPr>
            <w:tcW w:w="2970" w:type="dxa"/>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11292" w:type="dxa"/>
            <w:gridSpan w:val="2"/>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4D53AB" w:rsidRPr="00990D1F" w:rsidTr="004D53AB">
        <w:tc>
          <w:tcPr>
            <w:tcW w:w="2970" w:type="dxa"/>
          </w:tcPr>
          <w:p w:rsidR="004D53AB" w:rsidRDefault="00B76C72" w:rsidP="00CF6EF2">
            <w:pPr>
              <w:jc w:val="left"/>
              <w:rPr>
                <w:rFonts w:cstheme="minorHAnsi"/>
                <w:b/>
              </w:rPr>
            </w:pPr>
            <w:r>
              <w:rPr>
                <w:rFonts w:cstheme="minorHAnsi"/>
                <w:b/>
              </w:rPr>
              <w:t>Welcome</w:t>
            </w:r>
            <w:r w:rsidR="00DA3157">
              <w:rPr>
                <w:rFonts w:cstheme="minorHAnsi"/>
                <w:b/>
              </w:rPr>
              <w:t xml:space="preserve">, </w:t>
            </w:r>
            <w:r w:rsidR="002C2FBA">
              <w:rPr>
                <w:rFonts w:cstheme="minorHAnsi"/>
                <w:b/>
              </w:rPr>
              <w:t xml:space="preserve"> </w:t>
            </w:r>
            <w:r w:rsidR="00DA3157">
              <w:rPr>
                <w:rFonts w:cstheme="minorHAnsi"/>
                <w:b/>
              </w:rPr>
              <w:t>Agenda overview</w:t>
            </w:r>
            <w:r w:rsidR="00BD4073">
              <w:rPr>
                <w:rFonts w:cstheme="minorHAnsi"/>
                <w:b/>
              </w:rPr>
              <w:t>, Consent agenda items</w:t>
            </w:r>
          </w:p>
        </w:tc>
        <w:tc>
          <w:tcPr>
            <w:tcW w:w="11292" w:type="dxa"/>
            <w:gridSpan w:val="2"/>
          </w:tcPr>
          <w:p w:rsidR="005103D7" w:rsidRDefault="0038690C" w:rsidP="005103D7">
            <w:pPr>
              <w:pStyle w:val="ListParagraph"/>
              <w:numPr>
                <w:ilvl w:val="0"/>
                <w:numId w:val="25"/>
              </w:numPr>
              <w:jc w:val="left"/>
              <w:rPr>
                <w:rFonts w:cstheme="minorHAnsi"/>
              </w:rPr>
            </w:pPr>
            <w:r>
              <w:rPr>
                <w:rFonts w:cstheme="minorHAnsi"/>
              </w:rPr>
              <w:t>1/8/14</w:t>
            </w:r>
            <w:r w:rsidR="00BD4073">
              <w:rPr>
                <w:rFonts w:cstheme="minorHAnsi"/>
              </w:rPr>
              <w:t xml:space="preserve"> minutes were adopted as is, will be posted</w:t>
            </w:r>
          </w:p>
          <w:p w:rsidR="00E37661" w:rsidRPr="00B76C72" w:rsidRDefault="00E37661" w:rsidP="005103D7">
            <w:pPr>
              <w:pStyle w:val="ListParagraph"/>
              <w:numPr>
                <w:ilvl w:val="0"/>
                <w:numId w:val="25"/>
              </w:numPr>
              <w:jc w:val="left"/>
              <w:rPr>
                <w:rFonts w:cstheme="minorHAnsi"/>
              </w:rPr>
            </w:pPr>
            <w:r>
              <w:rPr>
                <w:rFonts w:cstheme="minorHAnsi"/>
              </w:rPr>
              <w:t>No February meeting</w:t>
            </w:r>
            <w:r w:rsidR="007444EA">
              <w:rPr>
                <w:rFonts w:cstheme="minorHAnsi"/>
              </w:rPr>
              <w:t xml:space="preserve"> was held</w:t>
            </w:r>
          </w:p>
        </w:tc>
      </w:tr>
      <w:tr w:rsidR="004D53AB" w:rsidRPr="00990D1F" w:rsidTr="004D53AB">
        <w:trPr>
          <w:trHeight w:val="872"/>
        </w:trPr>
        <w:tc>
          <w:tcPr>
            <w:tcW w:w="2970" w:type="dxa"/>
          </w:tcPr>
          <w:p w:rsidR="004D53AB" w:rsidRDefault="00E37661" w:rsidP="00DA3157">
            <w:pPr>
              <w:jc w:val="left"/>
              <w:rPr>
                <w:rFonts w:cstheme="minorHAnsi"/>
                <w:b/>
              </w:rPr>
            </w:pPr>
            <w:r>
              <w:rPr>
                <w:rFonts w:cstheme="minorHAnsi"/>
                <w:b/>
              </w:rPr>
              <w:t>Project Updates</w:t>
            </w:r>
          </w:p>
        </w:tc>
        <w:tc>
          <w:tcPr>
            <w:tcW w:w="11292" w:type="dxa"/>
            <w:gridSpan w:val="2"/>
          </w:tcPr>
          <w:p w:rsidR="000D2224" w:rsidRDefault="00E37661" w:rsidP="00E37661">
            <w:pPr>
              <w:pStyle w:val="ListParagraph"/>
              <w:numPr>
                <w:ilvl w:val="0"/>
                <w:numId w:val="29"/>
              </w:numPr>
              <w:ind w:left="702"/>
              <w:jc w:val="left"/>
              <w:rPr>
                <w:rFonts w:cstheme="minorHAnsi"/>
              </w:rPr>
            </w:pPr>
            <w:r>
              <w:rPr>
                <w:rFonts w:cstheme="minorHAnsi"/>
              </w:rPr>
              <w:t>Behavioral Health RFP – Received 26 applications for 20 available slots; HIN staff will review applications in March and announce the awardees on 4/</w:t>
            </w:r>
            <w:r w:rsidR="007444EA">
              <w:rPr>
                <w:rFonts w:cstheme="minorHAnsi"/>
              </w:rPr>
              <w:t>1</w:t>
            </w:r>
            <w:r>
              <w:rPr>
                <w:rFonts w:cstheme="minorHAnsi"/>
              </w:rPr>
              <w:t xml:space="preserve">4/14 </w:t>
            </w:r>
            <w:r w:rsidR="007444EA">
              <w:rPr>
                <w:rFonts w:cstheme="minorHAnsi"/>
              </w:rPr>
              <w:t>(slide date was a typo)</w:t>
            </w:r>
          </w:p>
          <w:p w:rsidR="00E37661" w:rsidRPr="003E6849" w:rsidRDefault="00E37661" w:rsidP="007444EA">
            <w:pPr>
              <w:pStyle w:val="ListParagraph"/>
              <w:numPr>
                <w:ilvl w:val="0"/>
                <w:numId w:val="29"/>
              </w:numPr>
              <w:ind w:left="702"/>
              <w:jc w:val="left"/>
              <w:rPr>
                <w:rFonts w:cstheme="minorHAnsi"/>
              </w:rPr>
            </w:pPr>
            <w:r>
              <w:rPr>
                <w:rFonts w:cstheme="minorHAnsi"/>
              </w:rPr>
              <w:t>Personal Health Record/Blue Button Project – We received 4 RFIs. HIN st</w:t>
            </w:r>
            <w:r w:rsidR="007444EA">
              <w:rPr>
                <w:rFonts w:cstheme="minorHAnsi"/>
              </w:rPr>
              <w:t>aff reviewed and scored each RFI</w:t>
            </w:r>
            <w:r>
              <w:rPr>
                <w:rFonts w:cstheme="minorHAnsi"/>
              </w:rPr>
              <w:t xml:space="preserve"> based on criteria DIS helped develop. HIN will be partnering with Eastern Maine Health System for the 12-month pilot set to begin in June 2014.</w:t>
            </w:r>
            <w:r w:rsidR="007444EA">
              <w:rPr>
                <w:rFonts w:cstheme="minorHAnsi"/>
              </w:rPr>
              <w:t xml:space="preserve"> Scoring template was presented. </w:t>
            </w:r>
          </w:p>
        </w:tc>
      </w:tr>
      <w:tr w:rsidR="00A44F0C" w:rsidRPr="00990D1F" w:rsidTr="004D53AB">
        <w:tc>
          <w:tcPr>
            <w:tcW w:w="2970" w:type="dxa"/>
          </w:tcPr>
          <w:p w:rsidR="00A44F0C" w:rsidRPr="005F4D9C" w:rsidRDefault="00E37661" w:rsidP="00D814BE">
            <w:pPr>
              <w:pStyle w:val="Formal1"/>
              <w:rPr>
                <w:rFonts w:asciiTheme="minorHAnsi" w:hAnsiTheme="minorHAnsi" w:cstheme="minorHAnsi"/>
                <w:b/>
                <w:bCs/>
                <w:sz w:val="22"/>
                <w:szCs w:val="22"/>
              </w:rPr>
            </w:pPr>
            <w:r>
              <w:rPr>
                <w:rFonts w:asciiTheme="minorHAnsi" w:hAnsiTheme="minorHAnsi" w:cstheme="minorHAnsi"/>
                <w:b/>
                <w:bCs/>
                <w:sz w:val="22"/>
                <w:szCs w:val="22"/>
              </w:rPr>
              <w:t>Risk Mitigation</w:t>
            </w:r>
          </w:p>
        </w:tc>
        <w:tc>
          <w:tcPr>
            <w:tcW w:w="11292" w:type="dxa"/>
            <w:gridSpan w:val="2"/>
          </w:tcPr>
          <w:p w:rsidR="00AD7444" w:rsidRDefault="00E37661" w:rsidP="00E37661">
            <w:pPr>
              <w:pStyle w:val="ListParagraph"/>
              <w:numPr>
                <w:ilvl w:val="0"/>
                <w:numId w:val="30"/>
              </w:numPr>
              <w:jc w:val="left"/>
              <w:rPr>
                <w:rFonts w:cstheme="minorHAnsi"/>
              </w:rPr>
            </w:pPr>
            <w:r>
              <w:rPr>
                <w:rFonts w:cstheme="minorHAnsi"/>
              </w:rPr>
              <w:t>Katie presented the draft version of data infrastructure-related risks in the SIM risk mitigation document</w:t>
            </w:r>
            <w:r w:rsidR="0077766F">
              <w:rPr>
                <w:rFonts w:cstheme="minorHAnsi"/>
              </w:rPr>
              <w:t xml:space="preserve"> and reviewed the </w:t>
            </w:r>
            <w:r w:rsidR="004A19EA">
              <w:rPr>
                <w:rFonts w:cstheme="minorHAnsi"/>
              </w:rPr>
              <w:t>group’s</w:t>
            </w:r>
            <w:r w:rsidR="0077766F">
              <w:rPr>
                <w:rFonts w:cstheme="minorHAnsi"/>
              </w:rPr>
              <w:t xml:space="preserve"> role in risk mitigation (see slides). </w:t>
            </w:r>
            <w:r w:rsidR="004A19EA">
              <w:rPr>
                <w:rFonts w:cstheme="minorHAnsi"/>
              </w:rPr>
              <w:t xml:space="preserve">The group will provide strategic guidance to support risk mitigation and review relevant risks as they evolve over the life of SIM, advise on the mitigation plans etc., and support risk elevation to the Steering Committee as needed. </w:t>
            </w:r>
          </w:p>
          <w:p w:rsidR="000B45F8" w:rsidRDefault="000B45F8" w:rsidP="00E37661">
            <w:pPr>
              <w:pStyle w:val="ListParagraph"/>
              <w:numPr>
                <w:ilvl w:val="0"/>
                <w:numId w:val="30"/>
              </w:numPr>
              <w:jc w:val="left"/>
              <w:rPr>
                <w:rFonts w:cstheme="minorHAnsi"/>
              </w:rPr>
            </w:pPr>
            <w:r>
              <w:rPr>
                <w:rFonts w:cstheme="minorHAnsi"/>
              </w:rPr>
              <w:t xml:space="preserve">Suggestions/comments </w:t>
            </w:r>
            <w:r w:rsidR="00D80D2E">
              <w:rPr>
                <w:rFonts w:cstheme="minorHAnsi"/>
              </w:rPr>
              <w:t>on the identified risks</w:t>
            </w:r>
            <w:r>
              <w:rPr>
                <w:rFonts w:cstheme="minorHAnsi"/>
              </w:rPr>
              <w:t>:</w:t>
            </w:r>
          </w:p>
          <w:p w:rsidR="000B45F8" w:rsidRDefault="007444EA" w:rsidP="000B45F8">
            <w:pPr>
              <w:pStyle w:val="ListParagraph"/>
              <w:numPr>
                <w:ilvl w:val="1"/>
                <w:numId w:val="30"/>
              </w:numPr>
              <w:jc w:val="left"/>
              <w:rPr>
                <w:rFonts w:cstheme="minorHAnsi"/>
              </w:rPr>
            </w:pPr>
            <w:r>
              <w:rPr>
                <w:rFonts w:cstheme="minorHAnsi"/>
              </w:rPr>
              <w:t xml:space="preserve">BH clinicians/staff need help to </w:t>
            </w:r>
            <w:r w:rsidR="000B45F8">
              <w:rPr>
                <w:rFonts w:cstheme="minorHAnsi"/>
              </w:rPr>
              <w:t>understand</w:t>
            </w:r>
            <w:r>
              <w:rPr>
                <w:rFonts w:cstheme="minorHAnsi"/>
              </w:rPr>
              <w:t xml:space="preserve"> “general medical”</w:t>
            </w:r>
            <w:r w:rsidR="000B45F8">
              <w:rPr>
                <w:rFonts w:cstheme="minorHAnsi"/>
              </w:rPr>
              <w:t xml:space="preserve"> physical health information</w:t>
            </w:r>
            <w:r>
              <w:rPr>
                <w:rFonts w:cstheme="minorHAnsi"/>
              </w:rPr>
              <w:t xml:space="preserve"> from those partner EHR records and how to integrate that dat</w:t>
            </w:r>
            <w:r w:rsidR="0017754F">
              <w:rPr>
                <w:rFonts w:cstheme="minorHAnsi"/>
              </w:rPr>
              <w:t>a</w:t>
            </w:r>
            <w:r>
              <w:rPr>
                <w:rFonts w:cstheme="minorHAnsi"/>
              </w:rPr>
              <w:t xml:space="preserve"> into </w:t>
            </w:r>
            <w:r w:rsidR="000B45F8">
              <w:rPr>
                <w:rFonts w:cstheme="minorHAnsi"/>
              </w:rPr>
              <w:t>the BH EHR systems; BH workforce education</w:t>
            </w:r>
            <w:r>
              <w:rPr>
                <w:rFonts w:cstheme="minorHAnsi"/>
              </w:rPr>
              <w:t xml:space="preserve"> will need to focus on this. Elsie will be following up with Quality Counts on how this can be part of the BH Learning Collaborative scope of education. </w:t>
            </w:r>
            <w:r w:rsidR="00373026">
              <w:rPr>
                <w:rFonts w:cstheme="minorHAnsi"/>
              </w:rPr>
              <w:t xml:space="preserve">DIS can revisit this as the BH RFP work rolls out and progresses </w:t>
            </w:r>
            <w:r w:rsidR="00373026">
              <w:rPr>
                <w:rFonts w:cstheme="minorHAnsi"/>
              </w:rPr>
              <w:lastRenderedPageBreak/>
              <w:t xml:space="preserve">more. </w:t>
            </w:r>
          </w:p>
          <w:p w:rsidR="000B45F8" w:rsidRDefault="00373026" w:rsidP="000B45F8">
            <w:pPr>
              <w:pStyle w:val="ListParagraph"/>
              <w:numPr>
                <w:ilvl w:val="1"/>
                <w:numId w:val="30"/>
              </w:numPr>
              <w:jc w:val="left"/>
              <w:rPr>
                <w:rFonts w:cstheme="minorHAnsi"/>
              </w:rPr>
            </w:pPr>
            <w:r>
              <w:rPr>
                <w:rFonts w:cstheme="minorHAnsi"/>
              </w:rPr>
              <w:t xml:space="preserve">A risk to BHHO related to DIS is how will medical records we easily shared between </w:t>
            </w:r>
            <w:r w:rsidR="000B45F8">
              <w:rPr>
                <w:rFonts w:cstheme="minorHAnsi"/>
              </w:rPr>
              <w:t>PCMH/BHHOs by care managers</w:t>
            </w:r>
            <w:r>
              <w:rPr>
                <w:rFonts w:cstheme="minorHAnsi"/>
              </w:rPr>
              <w:t>, how can we support this work?</w:t>
            </w:r>
          </w:p>
          <w:p w:rsidR="000B45F8" w:rsidRDefault="007B7BD0" w:rsidP="000B45F8">
            <w:pPr>
              <w:pStyle w:val="ListParagraph"/>
              <w:numPr>
                <w:ilvl w:val="1"/>
                <w:numId w:val="30"/>
              </w:numPr>
              <w:jc w:val="left"/>
              <w:rPr>
                <w:rFonts w:cstheme="minorHAnsi"/>
              </w:rPr>
            </w:pPr>
            <w:r>
              <w:rPr>
                <w:rFonts w:cstheme="minorHAnsi"/>
              </w:rPr>
              <w:t xml:space="preserve">It was determined that the draft risk presented today of “providers not being connected to the HIE” was not a risk at this time as it is not part of the funded activities under SIM scope. </w:t>
            </w:r>
            <w:bookmarkStart w:id="0" w:name="_GoBack"/>
            <w:bookmarkEnd w:id="0"/>
          </w:p>
          <w:p w:rsidR="000B45F8" w:rsidRDefault="000B45F8" w:rsidP="000B45F8">
            <w:pPr>
              <w:pStyle w:val="ListParagraph"/>
              <w:numPr>
                <w:ilvl w:val="1"/>
                <w:numId w:val="30"/>
              </w:numPr>
              <w:jc w:val="left"/>
              <w:rPr>
                <w:rFonts w:cstheme="minorHAnsi"/>
              </w:rPr>
            </w:pPr>
            <w:r>
              <w:rPr>
                <w:rFonts w:cstheme="minorHAnsi"/>
              </w:rPr>
              <w:t xml:space="preserve">Add the </w:t>
            </w:r>
            <w:r w:rsidR="00373026">
              <w:rPr>
                <w:rFonts w:cstheme="minorHAnsi"/>
              </w:rPr>
              <w:t>Mental Health opt-in/revoke</w:t>
            </w:r>
            <w:r>
              <w:rPr>
                <w:rFonts w:cstheme="minorHAnsi"/>
              </w:rPr>
              <w:t xml:space="preserve"> process as an additional risk</w:t>
            </w:r>
            <w:r w:rsidR="00373026">
              <w:rPr>
                <w:rFonts w:cstheme="minorHAnsi"/>
              </w:rPr>
              <w:t xml:space="preserve"> to meeting the BH RFP objective. Without mental health opt-in/organizations sending MH data, quality measurement may be compromised. </w:t>
            </w:r>
          </w:p>
          <w:p w:rsidR="00373026" w:rsidRPr="00E37661" w:rsidRDefault="00373026" w:rsidP="000B45F8">
            <w:pPr>
              <w:pStyle w:val="ListParagraph"/>
              <w:numPr>
                <w:ilvl w:val="1"/>
                <w:numId w:val="30"/>
              </w:numPr>
              <w:jc w:val="left"/>
              <w:rPr>
                <w:rFonts w:cstheme="minorHAnsi"/>
              </w:rPr>
            </w:pPr>
            <w:r>
              <w:rPr>
                <w:rFonts w:cstheme="minorHAnsi"/>
              </w:rPr>
              <w:t>Track win and successes “not just the risks”</w:t>
            </w:r>
          </w:p>
        </w:tc>
      </w:tr>
      <w:tr w:rsidR="000B45F8" w:rsidRPr="00990D1F" w:rsidTr="004D53AB">
        <w:tc>
          <w:tcPr>
            <w:tcW w:w="2970" w:type="dxa"/>
          </w:tcPr>
          <w:p w:rsidR="000B45F8" w:rsidRDefault="000B45F8" w:rsidP="00D814BE">
            <w:pPr>
              <w:pStyle w:val="Formal1"/>
              <w:rPr>
                <w:rFonts w:asciiTheme="minorHAnsi" w:hAnsiTheme="minorHAnsi" w:cstheme="minorHAnsi"/>
                <w:b/>
                <w:bCs/>
                <w:sz w:val="22"/>
                <w:szCs w:val="22"/>
              </w:rPr>
            </w:pPr>
            <w:r>
              <w:rPr>
                <w:rFonts w:asciiTheme="minorHAnsi" w:hAnsiTheme="minorHAnsi" w:cstheme="minorHAnsi"/>
                <w:b/>
                <w:bCs/>
                <w:sz w:val="22"/>
                <w:szCs w:val="22"/>
              </w:rPr>
              <w:lastRenderedPageBreak/>
              <w:t xml:space="preserve">HIN Dashboard </w:t>
            </w:r>
            <w:r w:rsidR="00FD596C">
              <w:rPr>
                <w:rFonts w:asciiTheme="minorHAnsi" w:hAnsiTheme="minorHAnsi" w:cstheme="minorHAnsi"/>
                <w:b/>
                <w:bCs/>
                <w:sz w:val="22"/>
                <w:szCs w:val="22"/>
              </w:rPr>
              <w:t xml:space="preserve">Analytics </w:t>
            </w:r>
            <w:r>
              <w:rPr>
                <w:rFonts w:asciiTheme="minorHAnsi" w:hAnsiTheme="minorHAnsi" w:cstheme="minorHAnsi"/>
                <w:b/>
                <w:bCs/>
                <w:sz w:val="22"/>
                <w:szCs w:val="22"/>
              </w:rPr>
              <w:t>Demonstration</w:t>
            </w:r>
            <w:r w:rsidR="00FD596C">
              <w:rPr>
                <w:rFonts w:asciiTheme="minorHAnsi" w:hAnsiTheme="minorHAnsi" w:cstheme="minorHAnsi"/>
                <w:b/>
                <w:bCs/>
                <w:sz w:val="22"/>
                <w:szCs w:val="22"/>
              </w:rPr>
              <w:t xml:space="preserve"> </w:t>
            </w:r>
            <w:r w:rsidR="00FD596C" w:rsidRPr="00FD596C">
              <w:rPr>
                <w:rFonts w:asciiTheme="minorHAnsi" w:hAnsiTheme="minorHAnsi" w:cstheme="minorHAnsi"/>
                <w:bCs/>
                <w:sz w:val="22"/>
                <w:szCs w:val="22"/>
              </w:rPr>
              <w:t>(HIN’s 4</w:t>
            </w:r>
            <w:r w:rsidR="00FD596C" w:rsidRPr="00FD596C">
              <w:rPr>
                <w:rFonts w:asciiTheme="minorHAnsi" w:hAnsiTheme="minorHAnsi" w:cstheme="minorHAnsi"/>
                <w:bCs/>
                <w:sz w:val="22"/>
                <w:szCs w:val="22"/>
                <w:vertAlign w:val="superscript"/>
              </w:rPr>
              <w:t>th</w:t>
            </w:r>
            <w:r w:rsidR="00FD596C" w:rsidRPr="00FD596C">
              <w:rPr>
                <w:rFonts w:asciiTheme="minorHAnsi" w:hAnsiTheme="minorHAnsi" w:cstheme="minorHAnsi"/>
                <w:bCs/>
                <w:sz w:val="22"/>
                <w:szCs w:val="22"/>
              </w:rPr>
              <w:t xml:space="preserve"> SIM Objective</w:t>
            </w:r>
            <w:r w:rsidR="00FD596C">
              <w:rPr>
                <w:rFonts w:asciiTheme="minorHAnsi" w:hAnsiTheme="minorHAnsi" w:cstheme="minorHAnsi"/>
                <w:bCs/>
                <w:sz w:val="22"/>
                <w:szCs w:val="22"/>
              </w:rPr>
              <w:t xml:space="preserve"> in project plan</w:t>
            </w:r>
            <w:r w:rsidR="00FD596C" w:rsidRPr="00FD596C">
              <w:rPr>
                <w:rFonts w:asciiTheme="minorHAnsi" w:hAnsiTheme="minorHAnsi" w:cstheme="minorHAnsi"/>
                <w:bCs/>
                <w:sz w:val="22"/>
                <w:szCs w:val="22"/>
              </w:rPr>
              <w:t>)</w:t>
            </w:r>
          </w:p>
        </w:tc>
        <w:tc>
          <w:tcPr>
            <w:tcW w:w="11292" w:type="dxa"/>
            <w:gridSpan w:val="2"/>
          </w:tcPr>
          <w:p w:rsidR="005A59E4" w:rsidRDefault="005A59E4" w:rsidP="00E37661">
            <w:pPr>
              <w:pStyle w:val="ListParagraph"/>
              <w:numPr>
                <w:ilvl w:val="0"/>
                <w:numId w:val="30"/>
              </w:numPr>
              <w:jc w:val="left"/>
              <w:rPr>
                <w:rFonts w:cstheme="minorHAnsi"/>
              </w:rPr>
            </w:pPr>
            <w:r>
              <w:rPr>
                <w:rFonts w:cstheme="minorHAnsi"/>
              </w:rPr>
              <w:t xml:space="preserve">Shaun </w:t>
            </w:r>
            <w:r w:rsidR="006A0A6B">
              <w:rPr>
                <w:rFonts w:cstheme="minorHAnsi"/>
              </w:rPr>
              <w:t xml:space="preserve">Alfreds introduced the deliverable and </w:t>
            </w:r>
            <w:r>
              <w:rPr>
                <w:rFonts w:cstheme="minorHAnsi"/>
              </w:rPr>
              <w:t>provided an overview of HIN’s Data Analytics Project known as “the Dashboard.” HIN is currently piloting the dashboard with 4 hospital/ambulatory systems</w:t>
            </w:r>
            <w:r w:rsidR="00E15AC0">
              <w:rPr>
                <w:rFonts w:cstheme="minorHAnsi"/>
              </w:rPr>
              <w:t xml:space="preserve"> in the state and will provide</w:t>
            </w:r>
            <w:r>
              <w:rPr>
                <w:rFonts w:cstheme="minorHAnsi"/>
              </w:rPr>
              <w:t xml:space="preserve"> the tool to participants as an addition to their current service contract. As part of SIM, HIN will provide MaineCare with a dashboa</w:t>
            </w:r>
            <w:r w:rsidR="00E15AC0">
              <w:rPr>
                <w:rFonts w:cstheme="minorHAnsi"/>
              </w:rPr>
              <w:t xml:space="preserve">rd designed to meet their needs using the same data governance procedures that exist today. </w:t>
            </w:r>
          </w:p>
          <w:p w:rsidR="005A59E4" w:rsidRDefault="005A59E4" w:rsidP="00E37661">
            <w:pPr>
              <w:pStyle w:val="ListParagraph"/>
              <w:numPr>
                <w:ilvl w:val="0"/>
                <w:numId w:val="30"/>
              </w:numPr>
              <w:jc w:val="left"/>
              <w:rPr>
                <w:rFonts w:cstheme="minorHAnsi"/>
              </w:rPr>
            </w:pPr>
            <w:r>
              <w:rPr>
                <w:rFonts w:cstheme="minorHAnsi"/>
              </w:rPr>
              <w:t>Comments</w:t>
            </w:r>
            <w:r w:rsidR="00D94889">
              <w:rPr>
                <w:rFonts w:cstheme="minorHAnsi"/>
              </w:rPr>
              <w:t>/questions</w:t>
            </w:r>
            <w:r>
              <w:rPr>
                <w:rFonts w:cstheme="minorHAnsi"/>
              </w:rPr>
              <w:t xml:space="preserve"> from DIS members:</w:t>
            </w:r>
          </w:p>
          <w:p w:rsidR="000B45F8" w:rsidRDefault="00D94889" w:rsidP="005A59E4">
            <w:pPr>
              <w:pStyle w:val="ListParagraph"/>
              <w:numPr>
                <w:ilvl w:val="1"/>
                <w:numId w:val="30"/>
              </w:numPr>
              <w:jc w:val="left"/>
              <w:rPr>
                <w:rFonts w:cstheme="minorHAnsi"/>
              </w:rPr>
            </w:pPr>
            <w:r>
              <w:rPr>
                <w:rFonts w:cstheme="minorHAnsi"/>
              </w:rPr>
              <w:t xml:space="preserve">Where is the payer distribution </w:t>
            </w:r>
            <w:r w:rsidR="00944146">
              <w:rPr>
                <w:rFonts w:cstheme="minorHAnsi"/>
              </w:rPr>
              <w:t xml:space="preserve">(used in the Dashboard for providers today) </w:t>
            </w:r>
            <w:r>
              <w:rPr>
                <w:rFonts w:cstheme="minorHAnsi"/>
              </w:rPr>
              <w:t>data from? A: HIE data</w:t>
            </w:r>
            <w:r w:rsidR="00944146">
              <w:rPr>
                <w:rFonts w:cstheme="minorHAnsi"/>
              </w:rPr>
              <w:t xml:space="preserve"> (not claims)</w:t>
            </w:r>
          </w:p>
          <w:p w:rsidR="00D94889" w:rsidRDefault="00D94889" w:rsidP="005A59E4">
            <w:pPr>
              <w:pStyle w:val="ListParagraph"/>
              <w:numPr>
                <w:ilvl w:val="1"/>
                <w:numId w:val="30"/>
              </w:numPr>
              <w:jc w:val="left"/>
              <w:rPr>
                <w:rFonts w:cstheme="minorHAnsi"/>
              </w:rPr>
            </w:pPr>
            <w:r>
              <w:rPr>
                <w:rFonts w:cstheme="minorHAnsi"/>
              </w:rPr>
              <w:t>MaineCare will be sending HIN claims data</w:t>
            </w:r>
            <w:r w:rsidR="00944146">
              <w:rPr>
                <w:rFonts w:cstheme="minorHAnsi"/>
              </w:rPr>
              <w:t xml:space="preserve"> beginning in April for</w:t>
            </w:r>
            <w:r>
              <w:rPr>
                <w:rFonts w:cstheme="minorHAnsi"/>
              </w:rPr>
              <w:t xml:space="preserve"> their members that will be included in the MaineCare dashboard</w:t>
            </w:r>
            <w:r w:rsidR="00944146">
              <w:rPr>
                <w:rFonts w:cstheme="minorHAnsi"/>
              </w:rPr>
              <w:t xml:space="preserve"> for the first time</w:t>
            </w:r>
          </w:p>
          <w:p w:rsidR="00944146" w:rsidRDefault="00D94889" w:rsidP="005A59E4">
            <w:pPr>
              <w:pStyle w:val="ListParagraph"/>
              <w:numPr>
                <w:ilvl w:val="1"/>
                <w:numId w:val="30"/>
              </w:numPr>
              <w:jc w:val="left"/>
              <w:rPr>
                <w:rFonts w:cstheme="minorHAnsi"/>
              </w:rPr>
            </w:pPr>
            <w:r w:rsidRPr="00944146">
              <w:rPr>
                <w:rFonts w:cstheme="minorHAnsi"/>
              </w:rPr>
              <w:t>Can MaineCare members o</w:t>
            </w:r>
            <w:r w:rsidR="00944146" w:rsidRPr="00944146">
              <w:rPr>
                <w:rFonts w:cstheme="minorHAnsi"/>
              </w:rPr>
              <w:t>pt-out of the HIE? A: Yes, but this</w:t>
            </w:r>
            <w:r w:rsidR="00944146">
              <w:rPr>
                <w:rFonts w:cstheme="minorHAnsi"/>
              </w:rPr>
              <w:t xml:space="preserve"> could be influenced by </w:t>
            </w:r>
            <w:r w:rsidR="00944146" w:rsidRPr="00944146">
              <w:rPr>
                <w:rFonts w:cstheme="minorHAnsi"/>
              </w:rPr>
              <w:t>a</w:t>
            </w:r>
            <w:r w:rsidRPr="00944146">
              <w:rPr>
                <w:rFonts w:cstheme="minorHAnsi"/>
              </w:rPr>
              <w:t xml:space="preserve"> policy decision</w:t>
            </w:r>
            <w:r w:rsidR="00944146" w:rsidRPr="00944146">
              <w:rPr>
                <w:rFonts w:cstheme="minorHAnsi"/>
              </w:rPr>
              <w:t xml:space="preserve">. Some states- Utah, do not allow their </w:t>
            </w:r>
            <w:r w:rsidR="00944146">
              <w:rPr>
                <w:rFonts w:cstheme="minorHAnsi"/>
              </w:rPr>
              <w:t xml:space="preserve">Medicaid </w:t>
            </w:r>
            <w:r w:rsidR="00944146" w:rsidRPr="00944146">
              <w:rPr>
                <w:rFonts w:cstheme="minorHAnsi"/>
              </w:rPr>
              <w:t>members to opt-out of their HIE</w:t>
            </w:r>
            <w:r w:rsidR="00944146">
              <w:rPr>
                <w:rFonts w:cstheme="minorHAnsi"/>
              </w:rPr>
              <w:t xml:space="preserve">. </w:t>
            </w:r>
          </w:p>
          <w:p w:rsidR="00BB54FD" w:rsidRDefault="00BB54FD" w:rsidP="005A59E4">
            <w:pPr>
              <w:pStyle w:val="ListParagraph"/>
              <w:numPr>
                <w:ilvl w:val="1"/>
                <w:numId w:val="30"/>
              </w:numPr>
              <w:jc w:val="left"/>
              <w:rPr>
                <w:rFonts w:cstheme="minorHAnsi"/>
              </w:rPr>
            </w:pPr>
            <w:r w:rsidRPr="00BB54FD">
              <w:rPr>
                <w:rFonts w:cstheme="minorHAnsi"/>
              </w:rPr>
              <w:t xml:space="preserve">Comment was made that: </w:t>
            </w:r>
            <w:r>
              <w:rPr>
                <w:rFonts w:cstheme="minorHAnsi"/>
              </w:rPr>
              <w:t>how MaineCare does or does not pay for psych hospital admissions in Maine could contribute to missing BH data in the Dashboard tool.</w:t>
            </w:r>
          </w:p>
          <w:p w:rsidR="00D94889" w:rsidRPr="00BB54FD" w:rsidRDefault="00D94889" w:rsidP="005A59E4">
            <w:pPr>
              <w:pStyle w:val="ListParagraph"/>
              <w:numPr>
                <w:ilvl w:val="1"/>
                <w:numId w:val="30"/>
              </w:numPr>
              <w:jc w:val="left"/>
              <w:rPr>
                <w:rFonts w:cstheme="minorHAnsi"/>
              </w:rPr>
            </w:pPr>
            <w:r w:rsidRPr="00BB54FD">
              <w:rPr>
                <w:rFonts w:cstheme="minorHAnsi"/>
              </w:rPr>
              <w:t>HIN currently has the largest clinical data in Maine and we (as stakeholders) need to leverage that</w:t>
            </w:r>
          </w:p>
          <w:p w:rsidR="00D94889" w:rsidRDefault="00D94889" w:rsidP="005A59E4">
            <w:pPr>
              <w:pStyle w:val="ListParagraph"/>
              <w:numPr>
                <w:ilvl w:val="1"/>
                <w:numId w:val="30"/>
              </w:numPr>
              <w:jc w:val="left"/>
              <w:rPr>
                <w:rFonts w:cstheme="minorHAnsi"/>
              </w:rPr>
            </w:pPr>
            <w:r>
              <w:rPr>
                <w:rFonts w:cstheme="minorHAnsi"/>
              </w:rPr>
              <w:t>The dashboard has a lot of potential with payers in the state (MaineCare will be the first payer</w:t>
            </w:r>
            <w:r w:rsidR="00090444">
              <w:rPr>
                <w:rFonts w:cstheme="minorHAnsi"/>
              </w:rPr>
              <w:t xml:space="preserve"> to have access to the HIE data under the scope of the SIM projects and data governance policies of HIN). </w:t>
            </w:r>
          </w:p>
        </w:tc>
      </w:tr>
      <w:tr w:rsidR="004D53AB" w:rsidRPr="00990D1F" w:rsidTr="004D53AB">
        <w:tc>
          <w:tcPr>
            <w:tcW w:w="2970" w:type="dxa"/>
          </w:tcPr>
          <w:p w:rsidR="004D53AB" w:rsidRPr="00AC0CE5" w:rsidRDefault="00AD7444" w:rsidP="00D814BE">
            <w:pPr>
              <w:pStyle w:val="Formal1"/>
              <w:spacing w:after="0"/>
              <w:rPr>
                <w:rFonts w:cstheme="minorHAnsi"/>
                <w:b/>
              </w:rPr>
            </w:pPr>
            <w:r>
              <w:rPr>
                <w:rFonts w:asciiTheme="minorHAnsi" w:hAnsiTheme="minorHAnsi" w:cstheme="minorHAnsi"/>
                <w:b/>
                <w:bCs/>
                <w:sz w:val="22"/>
                <w:szCs w:val="22"/>
              </w:rPr>
              <w:t>Agenda/Meetings beyond into late</w:t>
            </w:r>
            <w:r w:rsidR="005C32A2">
              <w:rPr>
                <w:rFonts w:asciiTheme="minorHAnsi" w:hAnsiTheme="minorHAnsi" w:cstheme="minorHAnsi"/>
                <w:b/>
                <w:bCs/>
                <w:sz w:val="22"/>
                <w:szCs w:val="22"/>
              </w:rPr>
              <w:t xml:space="preserve"> 2014</w:t>
            </w:r>
          </w:p>
        </w:tc>
        <w:tc>
          <w:tcPr>
            <w:tcW w:w="11292" w:type="dxa"/>
            <w:gridSpan w:val="2"/>
          </w:tcPr>
          <w:p w:rsidR="00AD7444" w:rsidRDefault="00D94889" w:rsidP="00D94889">
            <w:pPr>
              <w:pStyle w:val="ListParagraph"/>
              <w:numPr>
                <w:ilvl w:val="0"/>
                <w:numId w:val="32"/>
              </w:numPr>
              <w:tabs>
                <w:tab w:val="left" w:pos="1125"/>
              </w:tabs>
              <w:ind w:left="702"/>
              <w:jc w:val="left"/>
              <w:rPr>
                <w:rFonts w:cstheme="minorHAnsi"/>
              </w:rPr>
            </w:pPr>
            <w:r>
              <w:rPr>
                <w:rFonts w:cstheme="minorHAnsi"/>
              </w:rPr>
              <w:t>April meeting has been moved to Wednesday April 16</w:t>
            </w:r>
            <w:r w:rsidRPr="00D94889">
              <w:rPr>
                <w:rFonts w:cstheme="minorHAnsi"/>
                <w:vertAlign w:val="superscript"/>
              </w:rPr>
              <w:t>th</w:t>
            </w:r>
            <w:r>
              <w:rPr>
                <w:rFonts w:cstheme="minorHAnsi"/>
              </w:rPr>
              <w:t xml:space="preserve"> due to the Quality Counts Annual Conference on 4/2</w:t>
            </w:r>
          </w:p>
          <w:p w:rsidR="00797A73" w:rsidRPr="00D94889" w:rsidRDefault="00797A73" w:rsidP="00D94889">
            <w:pPr>
              <w:pStyle w:val="ListParagraph"/>
              <w:numPr>
                <w:ilvl w:val="0"/>
                <w:numId w:val="32"/>
              </w:numPr>
              <w:tabs>
                <w:tab w:val="left" w:pos="1125"/>
              </w:tabs>
              <w:ind w:left="702"/>
              <w:jc w:val="left"/>
              <w:rPr>
                <w:rFonts w:cstheme="minorHAnsi"/>
              </w:rPr>
            </w:pPr>
            <w:r>
              <w:rPr>
                <w:rFonts w:cstheme="minorHAnsi"/>
              </w:rPr>
              <w:t>2014 meeting schedule had been emailed to all DIS members. Katie will work on the 2015 schedule and email that out in a few months</w:t>
            </w:r>
          </w:p>
        </w:tc>
      </w:tr>
      <w:tr w:rsidR="00D814BE" w:rsidRPr="00990D1F" w:rsidTr="004D53AB">
        <w:tc>
          <w:tcPr>
            <w:tcW w:w="2970" w:type="dxa"/>
          </w:tcPr>
          <w:p w:rsidR="00D814BE" w:rsidRPr="005F4D9C" w:rsidRDefault="00D814BE" w:rsidP="00D814BE">
            <w:pPr>
              <w:pStyle w:val="Formal1"/>
              <w:rPr>
                <w:rFonts w:asciiTheme="minorHAnsi" w:hAnsiTheme="minorHAnsi" w:cstheme="minorHAnsi"/>
                <w:b/>
                <w:bCs/>
                <w:sz w:val="22"/>
                <w:szCs w:val="22"/>
              </w:rPr>
            </w:pPr>
            <w:r w:rsidRPr="005F4D9C">
              <w:rPr>
                <w:rFonts w:asciiTheme="minorHAnsi" w:hAnsiTheme="minorHAnsi" w:cstheme="minorHAnsi"/>
                <w:b/>
                <w:bCs/>
                <w:sz w:val="22"/>
                <w:szCs w:val="22"/>
              </w:rPr>
              <w:t>Public Comment</w:t>
            </w:r>
          </w:p>
        </w:tc>
        <w:tc>
          <w:tcPr>
            <w:tcW w:w="11292" w:type="dxa"/>
            <w:gridSpan w:val="2"/>
          </w:tcPr>
          <w:p w:rsidR="00D814BE" w:rsidRDefault="00D814BE" w:rsidP="00DF0426">
            <w:pPr>
              <w:pStyle w:val="ListParagraph"/>
              <w:numPr>
                <w:ilvl w:val="0"/>
                <w:numId w:val="27"/>
              </w:numPr>
              <w:jc w:val="left"/>
              <w:rPr>
                <w:rFonts w:cstheme="minorHAnsi"/>
              </w:rPr>
            </w:pPr>
            <w:r>
              <w:rPr>
                <w:rFonts w:cstheme="minorHAnsi"/>
              </w:rPr>
              <w:t>No public comment</w:t>
            </w:r>
          </w:p>
        </w:tc>
      </w:tr>
    </w:tbl>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698"/>
      </w:tblGrid>
      <w:tr w:rsidR="008A07E3" w:rsidRPr="008A07E3" w:rsidTr="00F958B7">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214A97" w:rsidRPr="006554C1" w:rsidRDefault="00797A73" w:rsidP="0022432C">
            <w:pPr>
              <w:jc w:val="left"/>
              <w:rPr>
                <w:rFonts w:cs="Arial"/>
                <w:b/>
                <w:lang w:val="en-AU"/>
              </w:rPr>
            </w:pPr>
            <w:r>
              <w:rPr>
                <w:rFonts w:cs="Arial"/>
                <w:b/>
                <w:lang w:val="en-AU"/>
              </w:rPr>
              <w:t>Risk Mitigation</w:t>
            </w: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797A73" w:rsidP="0022432C">
            <w:pPr>
              <w:jc w:val="left"/>
              <w:rPr>
                <w:rFonts w:cs="Arial"/>
                <w:lang w:val="en-AU"/>
              </w:rPr>
            </w:pPr>
            <w:r>
              <w:rPr>
                <w:rFonts w:cs="Arial"/>
                <w:lang w:val="en-AU"/>
              </w:rPr>
              <w:t>Katie will update the Risk Mitigation plan with input from the DIS members</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797A73" w:rsidP="0022432C">
            <w:pPr>
              <w:jc w:val="left"/>
              <w:rPr>
                <w:rFonts w:cs="Arial"/>
                <w:lang w:val="en-AU"/>
              </w:rPr>
            </w:pPr>
            <w:r>
              <w:rPr>
                <w:rFonts w:cs="Arial"/>
                <w:lang w:val="en-AU"/>
              </w:rPr>
              <w:t>Katie</w:t>
            </w:r>
          </w:p>
        </w:tc>
        <w:tc>
          <w:tcPr>
            <w:tcW w:w="698" w:type="dxa"/>
            <w:tcBorders>
              <w:top w:val="single" w:sz="4" w:space="0" w:color="C0C0C0"/>
              <w:left w:val="single" w:sz="4" w:space="0" w:color="C0C0C0"/>
              <w:bottom w:val="single" w:sz="4" w:space="0" w:color="C0C0C0"/>
              <w:right w:val="single" w:sz="4" w:space="0" w:color="C0C0C0"/>
            </w:tcBorders>
          </w:tcPr>
          <w:p w:rsidR="00F958B7" w:rsidRPr="006554C1" w:rsidRDefault="00636637" w:rsidP="0022432C">
            <w:pPr>
              <w:jc w:val="left"/>
              <w:rPr>
                <w:rFonts w:cs="Arial"/>
                <w:sz w:val="24"/>
                <w:szCs w:val="24"/>
                <w:lang w:val="en-AU"/>
              </w:rPr>
            </w:pPr>
            <w:r>
              <w:rPr>
                <w:rFonts w:cs="Arial"/>
                <w:sz w:val="24"/>
                <w:szCs w:val="24"/>
                <w:lang w:val="en-AU"/>
              </w:rPr>
              <w:t>4/16</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8A07E3" w:rsidRPr="006554C1" w:rsidRDefault="008A07E3" w:rsidP="0022432C">
            <w:pPr>
              <w:jc w:val="left"/>
              <w:rPr>
                <w:rFonts w:cs="Arial"/>
                <w:sz w:val="24"/>
                <w:szCs w:val="24"/>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8A07E3" w:rsidP="00F93103">
            <w:pPr>
              <w:jc w:val="left"/>
              <w:rPr>
                <w:rFonts w:cs="Arial"/>
                <w:sz w:val="24"/>
                <w:szCs w:val="24"/>
                <w:lang w:val="en-AU"/>
              </w:rPr>
            </w:pP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c>
          <w:tcPr>
            <w:tcW w:w="1080" w:type="dxa"/>
            <w:tcBorders>
              <w:top w:val="single" w:sz="4" w:space="0" w:color="C0C0C0"/>
              <w:left w:val="single" w:sz="4" w:space="0" w:color="C0C0C0"/>
              <w:bottom w:val="single" w:sz="4" w:space="0" w:color="C0C0C0"/>
              <w:right w:val="single" w:sz="4" w:space="0" w:color="C0C0C0"/>
            </w:tcBorders>
          </w:tcPr>
          <w:p w:rsidR="00F958B7" w:rsidRPr="006554C1" w:rsidRDefault="00F958B7" w:rsidP="0022432C">
            <w:pPr>
              <w:jc w:val="left"/>
              <w:rPr>
                <w:rFonts w:cs="Arial"/>
                <w:sz w:val="24"/>
                <w:szCs w:val="24"/>
                <w:lang w:val="en-AU"/>
              </w:rPr>
            </w:pP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07" w:rsidRDefault="00E47507" w:rsidP="005261E9">
      <w:r>
        <w:separator/>
      </w:r>
    </w:p>
  </w:endnote>
  <w:endnote w:type="continuationSeparator" w:id="0">
    <w:p w:rsidR="00E47507" w:rsidRDefault="00E4750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7B7BD0">
      <w:rPr>
        <w:noProof/>
        <w:color w:val="808080" w:themeColor="background1" w:themeShade="80"/>
        <w:sz w:val="20"/>
        <w:szCs w:val="20"/>
      </w:rPr>
      <w:t>2</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7B7BD0">
      <w:rPr>
        <w:noProof/>
        <w:color w:val="808080" w:themeColor="background1" w:themeShade="80"/>
        <w:sz w:val="20"/>
        <w:szCs w:val="20"/>
      </w:rPr>
      <w:t>2</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07" w:rsidRDefault="00E47507" w:rsidP="005261E9">
      <w:r>
        <w:separator/>
      </w:r>
    </w:p>
  </w:footnote>
  <w:footnote w:type="continuationSeparator" w:id="0">
    <w:p w:rsidR="00E47507" w:rsidRDefault="00E4750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350"/>
      <w:docPartObj>
        <w:docPartGallery w:val="Watermarks"/>
        <w:docPartUnique/>
      </w:docPartObj>
    </w:sdtPr>
    <w:sdtEndPr/>
    <w:sdtContent>
      <w:p w:rsidR="00772268" w:rsidRDefault="00E4750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44DCF"/>
    <w:multiLevelType w:val="hybridMultilevel"/>
    <w:tmpl w:val="AA9A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1A740D"/>
    <w:multiLevelType w:val="hybridMultilevel"/>
    <w:tmpl w:val="B5F0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50525A"/>
    <w:multiLevelType w:val="hybridMultilevel"/>
    <w:tmpl w:val="F5962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617E28"/>
    <w:multiLevelType w:val="hybridMultilevel"/>
    <w:tmpl w:val="4B66FFF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9">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4"/>
  </w:num>
  <w:num w:numId="7">
    <w:abstractNumId w:val="14"/>
  </w:num>
  <w:num w:numId="8">
    <w:abstractNumId w:val="20"/>
  </w:num>
  <w:num w:numId="9">
    <w:abstractNumId w:val="3"/>
  </w:num>
  <w:num w:numId="10">
    <w:abstractNumId w:val="25"/>
  </w:num>
  <w:num w:numId="11">
    <w:abstractNumId w:val="17"/>
  </w:num>
  <w:num w:numId="12">
    <w:abstractNumId w:val="8"/>
  </w:num>
  <w:num w:numId="13">
    <w:abstractNumId w:val="30"/>
  </w:num>
  <w:num w:numId="14">
    <w:abstractNumId w:val="1"/>
  </w:num>
  <w:num w:numId="15">
    <w:abstractNumId w:val="29"/>
  </w:num>
  <w:num w:numId="16">
    <w:abstractNumId w:val="5"/>
  </w:num>
  <w:num w:numId="17">
    <w:abstractNumId w:val="19"/>
  </w:num>
  <w:num w:numId="18">
    <w:abstractNumId w:val="15"/>
  </w:num>
  <w:num w:numId="19">
    <w:abstractNumId w:val="23"/>
  </w:num>
  <w:num w:numId="20">
    <w:abstractNumId w:val="6"/>
  </w:num>
  <w:num w:numId="21">
    <w:abstractNumId w:val="31"/>
  </w:num>
  <w:num w:numId="22">
    <w:abstractNumId w:val="7"/>
  </w:num>
  <w:num w:numId="23">
    <w:abstractNumId w:val="18"/>
  </w:num>
  <w:num w:numId="24">
    <w:abstractNumId w:val="4"/>
  </w:num>
  <w:num w:numId="25">
    <w:abstractNumId w:val="22"/>
  </w:num>
  <w:num w:numId="26">
    <w:abstractNumId w:val="21"/>
  </w:num>
  <w:num w:numId="27">
    <w:abstractNumId w:val="27"/>
  </w:num>
  <w:num w:numId="28">
    <w:abstractNumId w:val="12"/>
  </w:num>
  <w:num w:numId="29">
    <w:abstractNumId w:val="26"/>
  </w:num>
  <w:num w:numId="30">
    <w:abstractNumId w:val="16"/>
  </w:num>
  <w:num w:numId="31">
    <w:abstractNumId w:val="1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1F78"/>
    <w:rsid w:val="000729CB"/>
    <w:rsid w:val="00073E14"/>
    <w:rsid w:val="00081AD2"/>
    <w:rsid w:val="00086535"/>
    <w:rsid w:val="00090444"/>
    <w:rsid w:val="00093C04"/>
    <w:rsid w:val="000A3105"/>
    <w:rsid w:val="000A664A"/>
    <w:rsid w:val="000B0295"/>
    <w:rsid w:val="000B3D00"/>
    <w:rsid w:val="000B3F54"/>
    <w:rsid w:val="000B45F8"/>
    <w:rsid w:val="000D222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6FBA"/>
    <w:rsid w:val="001525A3"/>
    <w:rsid w:val="00161C2B"/>
    <w:rsid w:val="00164916"/>
    <w:rsid w:val="0017754F"/>
    <w:rsid w:val="001828B7"/>
    <w:rsid w:val="001A7200"/>
    <w:rsid w:val="001A7E5D"/>
    <w:rsid w:val="001B17DC"/>
    <w:rsid w:val="001B5487"/>
    <w:rsid w:val="001C2239"/>
    <w:rsid w:val="001D6946"/>
    <w:rsid w:val="001F6FB4"/>
    <w:rsid w:val="00207B55"/>
    <w:rsid w:val="00214A97"/>
    <w:rsid w:val="00217E69"/>
    <w:rsid w:val="002243F2"/>
    <w:rsid w:val="0022745E"/>
    <w:rsid w:val="00235B69"/>
    <w:rsid w:val="00237CB3"/>
    <w:rsid w:val="0024309F"/>
    <w:rsid w:val="0024604C"/>
    <w:rsid w:val="00250CCD"/>
    <w:rsid w:val="00251854"/>
    <w:rsid w:val="00257AF3"/>
    <w:rsid w:val="00273B77"/>
    <w:rsid w:val="002748B1"/>
    <w:rsid w:val="00282531"/>
    <w:rsid w:val="00282E0A"/>
    <w:rsid w:val="00283021"/>
    <w:rsid w:val="00286629"/>
    <w:rsid w:val="002924EB"/>
    <w:rsid w:val="002B5D69"/>
    <w:rsid w:val="002B6325"/>
    <w:rsid w:val="002B70BD"/>
    <w:rsid w:val="002C2DD3"/>
    <w:rsid w:val="002C2FBA"/>
    <w:rsid w:val="002C7742"/>
    <w:rsid w:val="002D0658"/>
    <w:rsid w:val="002D5DEA"/>
    <w:rsid w:val="002D664C"/>
    <w:rsid w:val="002E4357"/>
    <w:rsid w:val="002E45B1"/>
    <w:rsid w:val="002F4AEB"/>
    <w:rsid w:val="00302696"/>
    <w:rsid w:val="003128FE"/>
    <w:rsid w:val="00324CF3"/>
    <w:rsid w:val="0032502E"/>
    <w:rsid w:val="0033176A"/>
    <w:rsid w:val="0033286A"/>
    <w:rsid w:val="0035442F"/>
    <w:rsid w:val="00357C99"/>
    <w:rsid w:val="00362684"/>
    <w:rsid w:val="0036506D"/>
    <w:rsid w:val="00373026"/>
    <w:rsid w:val="00373A02"/>
    <w:rsid w:val="00377C6E"/>
    <w:rsid w:val="0038690C"/>
    <w:rsid w:val="003B3A33"/>
    <w:rsid w:val="003C1F65"/>
    <w:rsid w:val="003C3747"/>
    <w:rsid w:val="003D6F76"/>
    <w:rsid w:val="003E0D8E"/>
    <w:rsid w:val="003E2AC7"/>
    <w:rsid w:val="003E6849"/>
    <w:rsid w:val="003F0DC9"/>
    <w:rsid w:val="00405196"/>
    <w:rsid w:val="00420ED3"/>
    <w:rsid w:val="004279FF"/>
    <w:rsid w:val="00433EB8"/>
    <w:rsid w:val="0043502A"/>
    <w:rsid w:val="0044521E"/>
    <w:rsid w:val="004452D1"/>
    <w:rsid w:val="00453209"/>
    <w:rsid w:val="00456CF4"/>
    <w:rsid w:val="0046623E"/>
    <w:rsid w:val="004776A0"/>
    <w:rsid w:val="00485155"/>
    <w:rsid w:val="00496871"/>
    <w:rsid w:val="004A19EA"/>
    <w:rsid w:val="004A6BC9"/>
    <w:rsid w:val="004C7326"/>
    <w:rsid w:val="004D0A28"/>
    <w:rsid w:val="004D53AB"/>
    <w:rsid w:val="004E593A"/>
    <w:rsid w:val="004F0AC7"/>
    <w:rsid w:val="004F4DE4"/>
    <w:rsid w:val="004F505A"/>
    <w:rsid w:val="005103D7"/>
    <w:rsid w:val="00512BE1"/>
    <w:rsid w:val="005171A9"/>
    <w:rsid w:val="0052440D"/>
    <w:rsid w:val="005261E9"/>
    <w:rsid w:val="0052760A"/>
    <w:rsid w:val="00532B24"/>
    <w:rsid w:val="005419CE"/>
    <w:rsid w:val="00541C44"/>
    <w:rsid w:val="005533A8"/>
    <w:rsid w:val="005568EC"/>
    <w:rsid w:val="00564B5C"/>
    <w:rsid w:val="00566A38"/>
    <w:rsid w:val="0057068A"/>
    <w:rsid w:val="00572012"/>
    <w:rsid w:val="00574A36"/>
    <w:rsid w:val="005764ED"/>
    <w:rsid w:val="00576891"/>
    <w:rsid w:val="005800E4"/>
    <w:rsid w:val="00591948"/>
    <w:rsid w:val="005930A0"/>
    <w:rsid w:val="005972F3"/>
    <w:rsid w:val="005A20A4"/>
    <w:rsid w:val="005A4406"/>
    <w:rsid w:val="005A59E4"/>
    <w:rsid w:val="005B1AD7"/>
    <w:rsid w:val="005C03E8"/>
    <w:rsid w:val="005C2BA9"/>
    <w:rsid w:val="005C32A2"/>
    <w:rsid w:val="005C6CC2"/>
    <w:rsid w:val="005C6D82"/>
    <w:rsid w:val="005E1A10"/>
    <w:rsid w:val="005F379B"/>
    <w:rsid w:val="005F3ED1"/>
    <w:rsid w:val="005F5668"/>
    <w:rsid w:val="005F674F"/>
    <w:rsid w:val="00600A39"/>
    <w:rsid w:val="00604980"/>
    <w:rsid w:val="00605991"/>
    <w:rsid w:val="00605B60"/>
    <w:rsid w:val="00616E1E"/>
    <w:rsid w:val="0063630E"/>
    <w:rsid w:val="00636637"/>
    <w:rsid w:val="006379DA"/>
    <w:rsid w:val="006444D7"/>
    <w:rsid w:val="006554C1"/>
    <w:rsid w:val="00663908"/>
    <w:rsid w:val="00667AC1"/>
    <w:rsid w:val="00671C49"/>
    <w:rsid w:val="006813C4"/>
    <w:rsid w:val="00683928"/>
    <w:rsid w:val="006855F8"/>
    <w:rsid w:val="0069587D"/>
    <w:rsid w:val="006A0A6B"/>
    <w:rsid w:val="006A16B8"/>
    <w:rsid w:val="006A1F1F"/>
    <w:rsid w:val="006B3862"/>
    <w:rsid w:val="006C6BC9"/>
    <w:rsid w:val="006E689F"/>
    <w:rsid w:val="006F15FF"/>
    <w:rsid w:val="006F3934"/>
    <w:rsid w:val="0070192A"/>
    <w:rsid w:val="00705406"/>
    <w:rsid w:val="00722CA9"/>
    <w:rsid w:val="00724F63"/>
    <w:rsid w:val="00725F68"/>
    <w:rsid w:val="00731F5C"/>
    <w:rsid w:val="00735D33"/>
    <w:rsid w:val="00736B94"/>
    <w:rsid w:val="0073775A"/>
    <w:rsid w:val="007444EA"/>
    <w:rsid w:val="00765ACD"/>
    <w:rsid w:val="0077220B"/>
    <w:rsid w:val="00772268"/>
    <w:rsid w:val="0077766F"/>
    <w:rsid w:val="00781B68"/>
    <w:rsid w:val="00783336"/>
    <w:rsid w:val="007934FD"/>
    <w:rsid w:val="00796549"/>
    <w:rsid w:val="00796FBD"/>
    <w:rsid w:val="00797A73"/>
    <w:rsid w:val="007A6FF8"/>
    <w:rsid w:val="007B5B0F"/>
    <w:rsid w:val="007B64B4"/>
    <w:rsid w:val="007B7BD0"/>
    <w:rsid w:val="007C629F"/>
    <w:rsid w:val="007C77E2"/>
    <w:rsid w:val="007D36C7"/>
    <w:rsid w:val="007E4388"/>
    <w:rsid w:val="007F3117"/>
    <w:rsid w:val="008145DB"/>
    <w:rsid w:val="008218F2"/>
    <w:rsid w:val="008357EC"/>
    <w:rsid w:val="008434F9"/>
    <w:rsid w:val="008447C5"/>
    <w:rsid w:val="0085323D"/>
    <w:rsid w:val="008623EC"/>
    <w:rsid w:val="00891C68"/>
    <w:rsid w:val="008A07E3"/>
    <w:rsid w:val="008B0882"/>
    <w:rsid w:val="008B1CD7"/>
    <w:rsid w:val="008B4134"/>
    <w:rsid w:val="008D02DD"/>
    <w:rsid w:val="008D58F3"/>
    <w:rsid w:val="008E0FE6"/>
    <w:rsid w:val="008F6958"/>
    <w:rsid w:val="008F74F2"/>
    <w:rsid w:val="00926DAC"/>
    <w:rsid w:val="009322EB"/>
    <w:rsid w:val="00933930"/>
    <w:rsid w:val="009344D1"/>
    <w:rsid w:val="00942E2B"/>
    <w:rsid w:val="00944146"/>
    <w:rsid w:val="0094434A"/>
    <w:rsid w:val="009539B2"/>
    <w:rsid w:val="009730F0"/>
    <w:rsid w:val="00981AED"/>
    <w:rsid w:val="009821E5"/>
    <w:rsid w:val="00990D1F"/>
    <w:rsid w:val="009923E9"/>
    <w:rsid w:val="009955C5"/>
    <w:rsid w:val="009A1EF4"/>
    <w:rsid w:val="009A2822"/>
    <w:rsid w:val="009B3346"/>
    <w:rsid w:val="009D5BB6"/>
    <w:rsid w:val="009D7AA8"/>
    <w:rsid w:val="009E1125"/>
    <w:rsid w:val="009E32ED"/>
    <w:rsid w:val="009E78DC"/>
    <w:rsid w:val="009E7FF6"/>
    <w:rsid w:val="009F1D31"/>
    <w:rsid w:val="009F2BD1"/>
    <w:rsid w:val="00A15F9D"/>
    <w:rsid w:val="00A3144A"/>
    <w:rsid w:val="00A335D5"/>
    <w:rsid w:val="00A37FAD"/>
    <w:rsid w:val="00A44F0C"/>
    <w:rsid w:val="00A4641F"/>
    <w:rsid w:val="00A6067C"/>
    <w:rsid w:val="00A6246E"/>
    <w:rsid w:val="00A67D08"/>
    <w:rsid w:val="00A70DBF"/>
    <w:rsid w:val="00A70F04"/>
    <w:rsid w:val="00A71DF1"/>
    <w:rsid w:val="00A72713"/>
    <w:rsid w:val="00A86873"/>
    <w:rsid w:val="00A92CBB"/>
    <w:rsid w:val="00A9678A"/>
    <w:rsid w:val="00AA1F9E"/>
    <w:rsid w:val="00AA53E1"/>
    <w:rsid w:val="00AB03ED"/>
    <w:rsid w:val="00AB0B15"/>
    <w:rsid w:val="00AB7558"/>
    <w:rsid w:val="00AC0CE5"/>
    <w:rsid w:val="00AC2CB9"/>
    <w:rsid w:val="00AC7353"/>
    <w:rsid w:val="00AD7444"/>
    <w:rsid w:val="00AE05D2"/>
    <w:rsid w:val="00AE5F30"/>
    <w:rsid w:val="00AE74A7"/>
    <w:rsid w:val="00AF2735"/>
    <w:rsid w:val="00B00402"/>
    <w:rsid w:val="00B1500A"/>
    <w:rsid w:val="00B16193"/>
    <w:rsid w:val="00B2323B"/>
    <w:rsid w:val="00B27761"/>
    <w:rsid w:val="00B27EF0"/>
    <w:rsid w:val="00B37255"/>
    <w:rsid w:val="00B4414E"/>
    <w:rsid w:val="00B50A92"/>
    <w:rsid w:val="00B55426"/>
    <w:rsid w:val="00B56216"/>
    <w:rsid w:val="00B57A9B"/>
    <w:rsid w:val="00B71FCD"/>
    <w:rsid w:val="00B75CC9"/>
    <w:rsid w:val="00B7641E"/>
    <w:rsid w:val="00B76C72"/>
    <w:rsid w:val="00B84CEB"/>
    <w:rsid w:val="00B91424"/>
    <w:rsid w:val="00BA32D1"/>
    <w:rsid w:val="00BA716E"/>
    <w:rsid w:val="00BB4447"/>
    <w:rsid w:val="00BB54FD"/>
    <w:rsid w:val="00BC01BD"/>
    <w:rsid w:val="00BC2A14"/>
    <w:rsid w:val="00BC2BC9"/>
    <w:rsid w:val="00BC48FB"/>
    <w:rsid w:val="00BC4FA9"/>
    <w:rsid w:val="00BD278D"/>
    <w:rsid w:val="00BD4073"/>
    <w:rsid w:val="00BE022C"/>
    <w:rsid w:val="00BF164A"/>
    <w:rsid w:val="00BF1788"/>
    <w:rsid w:val="00BF5044"/>
    <w:rsid w:val="00C043AA"/>
    <w:rsid w:val="00C06730"/>
    <w:rsid w:val="00C328F9"/>
    <w:rsid w:val="00C414F7"/>
    <w:rsid w:val="00C416EB"/>
    <w:rsid w:val="00C5154B"/>
    <w:rsid w:val="00C5420C"/>
    <w:rsid w:val="00C60698"/>
    <w:rsid w:val="00C60DD0"/>
    <w:rsid w:val="00C66B4E"/>
    <w:rsid w:val="00C67E53"/>
    <w:rsid w:val="00C72CB7"/>
    <w:rsid w:val="00C85238"/>
    <w:rsid w:val="00CA785A"/>
    <w:rsid w:val="00CB0FCC"/>
    <w:rsid w:val="00CB3767"/>
    <w:rsid w:val="00CC1F2A"/>
    <w:rsid w:val="00CC5004"/>
    <w:rsid w:val="00CD1E3B"/>
    <w:rsid w:val="00CD22D2"/>
    <w:rsid w:val="00CF6EF2"/>
    <w:rsid w:val="00D00D15"/>
    <w:rsid w:val="00D11570"/>
    <w:rsid w:val="00D16513"/>
    <w:rsid w:val="00D20057"/>
    <w:rsid w:val="00D243A2"/>
    <w:rsid w:val="00D26692"/>
    <w:rsid w:val="00D33C69"/>
    <w:rsid w:val="00D350F7"/>
    <w:rsid w:val="00D40CE9"/>
    <w:rsid w:val="00D503B1"/>
    <w:rsid w:val="00D57B06"/>
    <w:rsid w:val="00D72AE2"/>
    <w:rsid w:val="00D80D2E"/>
    <w:rsid w:val="00D814BE"/>
    <w:rsid w:val="00D83573"/>
    <w:rsid w:val="00D87281"/>
    <w:rsid w:val="00D90010"/>
    <w:rsid w:val="00D90642"/>
    <w:rsid w:val="00D94889"/>
    <w:rsid w:val="00D9595F"/>
    <w:rsid w:val="00DA3157"/>
    <w:rsid w:val="00DA3DDB"/>
    <w:rsid w:val="00DA4F5E"/>
    <w:rsid w:val="00DC1678"/>
    <w:rsid w:val="00DD164D"/>
    <w:rsid w:val="00DD2B6B"/>
    <w:rsid w:val="00DD61CA"/>
    <w:rsid w:val="00DD63B1"/>
    <w:rsid w:val="00DE7656"/>
    <w:rsid w:val="00DF0426"/>
    <w:rsid w:val="00DF3F66"/>
    <w:rsid w:val="00DF4F90"/>
    <w:rsid w:val="00E0433A"/>
    <w:rsid w:val="00E10F9A"/>
    <w:rsid w:val="00E15AC0"/>
    <w:rsid w:val="00E16FAD"/>
    <w:rsid w:val="00E22D25"/>
    <w:rsid w:val="00E255BC"/>
    <w:rsid w:val="00E2772A"/>
    <w:rsid w:val="00E27DCF"/>
    <w:rsid w:val="00E37661"/>
    <w:rsid w:val="00E47507"/>
    <w:rsid w:val="00E6028A"/>
    <w:rsid w:val="00E65FB7"/>
    <w:rsid w:val="00E75F2C"/>
    <w:rsid w:val="00E82E95"/>
    <w:rsid w:val="00E844DE"/>
    <w:rsid w:val="00E87349"/>
    <w:rsid w:val="00E93629"/>
    <w:rsid w:val="00E95CFE"/>
    <w:rsid w:val="00EA19D4"/>
    <w:rsid w:val="00EB5D6A"/>
    <w:rsid w:val="00EC2CBE"/>
    <w:rsid w:val="00ED639B"/>
    <w:rsid w:val="00EE6290"/>
    <w:rsid w:val="00EF041D"/>
    <w:rsid w:val="00EF3C7B"/>
    <w:rsid w:val="00F059FD"/>
    <w:rsid w:val="00F1172F"/>
    <w:rsid w:val="00F14FE4"/>
    <w:rsid w:val="00F15EC2"/>
    <w:rsid w:val="00F20B0A"/>
    <w:rsid w:val="00F25768"/>
    <w:rsid w:val="00F30306"/>
    <w:rsid w:val="00F40106"/>
    <w:rsid w:val="00F46CE9"/>
    <w:rsid w:val="00F470EF"/>
    <w:rsid w:val="00F52F2A"/>
    <w:rsid w:val="00F53988"/>
    <w:rsid w:val="00F6206F"/>
    <w:rsid w:val="00F64707"/>
    <w:rsid w:val="00F70E4E"/>
    <w:rsid w:val="00F775CE"/>
    <w:rsid w:val="00F869DE"/>
    <w:rsid w:val="00F93103"/>
    <w:rsid w:val="00F94B6D"/>
    <w:rsid w:val="00F958B7"/>
    <w:rsid w:val="00F96AC7"/>
    <w:rsid w:val="00FB5382"/>
    <w:rsid w:val="00FB5A41"/>
    <w:rsid w:val="00FB6C03"/>
    <w:rsid w:val="00FD596C"/>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endze@hinfone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ine.gov/dhhs/oms/sim/data-infrastructur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D16AA-5DB4-432E-A95C-42A218B1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Katie Sendze</cp:lastModifiedBy>
  <cp:revision>21</cp:revision>
  <cp:lastPrinted>2013-11-01T13:06:00Z</cp:lastPrinted>
  <dcterms:created xsi:type="dcterms:W3CDTF">2014-03-17T15:13:00Z</dcterms:created>
  <dcterms:modified xsi:type="dcterms:W3CDTF">2014-04-23T17:27:00Z</dcterms:modified>
</cp:coreProperties>
</file>